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5679D" w14:textId="77777777" w:rsidR="006A7B6E" w:rsidRDefault="006A7B6E">
      <w:pPr>
        <w:rPr>
          <w:rFonts w:ascii="Arial" w:eastAsia="Arial" w:hAnsi="Arial" w:cs="Arial"/>
          <w:b/>
          <w:sz w:val="36"/>
          <w:szCs w:val="36"/>
        </w:rPr>
      </w:pPr>
      <w:bookmarkStart w:id="0" w:name="_heading=h.8zybnykpmia0" w:colFirst="0" w:colLast="0"/>
      <w:bookmarkEnd w:id="0"/>
    </w:p>
    <w:p w14:paraId="6305679E" w14:textId="77777777" w:rsidR="006A7B6E" w:rsidRDefault="00E235B6">
      <w:pPr>
        <w:rPr>
          <w:rFonts w:ascii="Arial" w:eastAsia="Arial" w:hAnsi="Arial" w:cs="Arial"/>
          <w:b/>
          <w:sz w:val="36"/>
          <w:szCs w:val="36"/>
        </w:rPr>
      </w:pPr>
      <w:bookmarkStart w:id="1" w:name="_heading=h.exzqjxbhi7n2" w:colFirst="0" w:colLast="0"/>
      <w:bookmarkEnd w:id="1"/>
      <w:r>
        <w:rPr>
          <w:rFonts w:ascii="Arial" w:eastAsia="Arial" w:hAnsi="Arial" w:cs="Arial"/>
          <w:b/>
          <w:sz w:val="36"/>
          <w:szCs w:val="36"/>
        </w:rPr>
        <w:t>Joint Schedule 4 (Commercially Sensitive Information)</w:t>
      </w:r>
    </w:p>
    <w:p w14:paraId="6305679F" w14:textId="77777777" w:rsidR="006A7B6E" w:rsidRDefault="00E235B6">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630567A0" w14:textId="77777777" w:rsidR="006A7B6E" w:rsidRDefault="00E235B6">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630567A1" w14:textId="77777777" w:rsidR="006A7B6E" w:rsidRDefault="00E235B6">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630567A2" w14:textId="77777777" w:rsidR="006A7B6E" w:rsidRDefault="00E235B6">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to the Relevant Authority's obligation to disclose Information in accordance with FOIA or Clause 16 of the </w:t>
      </w:r>
      <w:r>
        <w:rPr>
          <w:rFonts w:ascii="Arial" w:eastAsia="Arial" w:hAnsi="Arial" w:cs="Arial"/>
          <w:sz w:val="24"/>
          <w:szCs w:val="24"/>
        </w:rPr>
        <w:t>C</w:t>
      </w:r>
      <w:r>
        <w:rPr>
          <w:rFonts w:ascii="Arial" w:eastAsia="Arial" w:hAnsi="Arial" w:cs="Arial"/>
          <w:color w:val="000000"/>
          <w:sz w:val="24"/>
          <w:szCs w:val="24"/>
        </w:rPr>
        <w:t xml:space="preserve">ore </w:t>
      </w:r>
      <w:r>
        <w:rPr>
          <w:rFonts w:ascii="Arial" w:eastAsia="Arial" w:hAnsi="Arial" w:cs="Arial"/>
          <w:sz w:val="24"/>
          <w:szCs w:val="24"/>
        </w:rPr>
        <w:t>T</w:t>
      </w:r>
      <w:r>
        <w:rPr>
          <w:rFonts w:ascii="Arial" w:eastAsia="Arial" w:hAnsi="Arial" w:cs="Arial"/>
          <w:color w:val="000000"/>
          <w:sz w:val="24"/>
          <w:szCs w:val="24"/>
        </w:rPr>
        <w:t>erms (When you can share information), the Relevant Authority will, in its sole discretion, acting reasonably, seek to apply the relevant exemption set out in the FOIA to the following Information:</w:t>
      </w:r>
    </w:p>
    <w:p w14:paraId="630567A3" w14:textId="77777777" w:rsidR="006A7B6E" w:rsidRDefault="006A7B6E">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W w:w="7949"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70"/>
        <w:gridCol w:w="2410"/>
        <w:gridCol w:w="1931"/>
        <w:gridCol w:w="2238"/>
      </w:tblGrid>
      <w:tr w:rsidR="006A7B6E" w14:paraId="630567A8" w14:textId="77777777" w:rsidTr="008B4E6E">
        <w:trPr>
          <w:tblHeader/>
        </w:trPr>
        <w:tc>
          <w:tcPr>
            <w:tcW w:w="1370" w:type="dxa"/>
          </w:tcPr>
          <w:p w14:paraId="630567A4" w14:textId="77777777" w:rsidR="006A7B6E" w:rsidRDefault="00E235B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2410" w:type="dxa"/>
          </w:tcPr>
          <w:p w14:paraId="630567A5" w14:textId="77777777" w:rsidR="006A7B6E" w:rsidRDefault="00E235B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1931" w:type="dxa"/>
          </w:tcPr>
          <w:p w14:paraId="630567A6" w14:textId="77777777" w:rsidR="006A7B6E" w:rsidRDefault="00E235B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14:paraId="630567A7" w14:textId="77777777" w:rsidR="006A7B6E" w:rsidRDefault="00E235B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6A7B6E" w14:paraId="630567AD" w14:textId="77777777" w:rsidTr="008B4E6E">
        <w:tc>
          <w:tcPr>
            <w:tcW w:w="1370" w:type="dxa"/>
          </w:tcPr>
          <w:p w14:paraId="630567A9" w14:textId="60C0C04A" w:rsidR="006A7B6E" w:rsidRPr="008B4E6E" w:rsidRDefault="008B4E6E" w:rsidP="008B4E6E">
            <w:pPr>
              <w:rPr>
                <w:rFonts w:ascii="Arial" w:hAnsi="Arial" w:cs="Arial"/>
                <w:sz w:val="24"/>
                <w:szCs w:val="24"/>
              </w:rPr>
            </w:pPr>
            <w:r w:rsidRPr="008B4E6E">
              <w:rPr>
                <w:rFonts w:ascii="Arial" w:hAnsi="Arial" w:cs="Arial"/>
                <w:sz w:val="24"/>
                <w:szCs w:val="24"/>
              </w:rPr>
              <w:t>1.</w:t>
            </w:r>
          </w:p>
        </w:tc>
        <w:tc>
          <w:tcPr>
            <w:tcW w:w="2410" w:type="dxa"/>
          </w:tcPr>
          <w:p w14:paraId="630567AA" w14:textId="6C146254" w:rsidR="006A7B6E" w:rsidRPr="008B4E6E" w:rsidRDefault="008B4E6E" w:rsidP="008B4E6E">
            <w:pPr>
              <w:rPr>
                <w:rFonts w:ascii="Arial" w:hAnsi="Arial" w:cs="Arial"/>
                <w:sz w:val="24"/>
                <w:szCs w:val="24"/>
              </w:rPr>
            </w:pPr>
            <w:r w:rsidRPr="008B4E6E">
              <w:rPr>
                <w:rFonts w:ascii="Arial" w:hAnsi="Arial" w:cs="Arial"/>
                <w:sz w:val="24"/>
                <w:szCs w:val="24"/>
              </w:rPr>
              <w:t xml:space="preserve">From the commencement of the contract </w:t>
            </w:r>
          </w:p>
        </w:tc>
        <w:tc>
          <w:tcPr>
            <w:tcW w:w="1931" w:type="dxa"/>
          </w:tcPr>
          <w:p w14:paraId="630567AB" w14:textId="042218AD" w:rsidR="006A7B6E" w:rsidRPr="008B4E6E" w:rsidRDefault="008B4E6E" w:rsidP="008B4E6E">
            <w:pPr>
              <w:rPr>
                <w:rFonts w:ascii="Arial" w:hAnsi="Arial" w:cs="Arial"/>
                <w:sz w:val="24"/>
                <w:szCs w:val="24"/>
              </w:rPr>
            </w:pPr>
            <w:r w:rsidRPr="008B4E6E">
              <w:rPr>
                <w:rFonts w:ascii="Arial" w:hAnsi="Arial" w:cs="Arial"/>
                <w:sz w:val="24"/>
                <w:szCs w:val="24"/>
              </w:rPr>
              <w:t>The supplier’s commercial bid</w:t>
            </w:r>
          </w:p>
        </w:tc>
        <w:tc>
          <w:tcPr>
            <w:tcW w:w="2238" w:type="dxa"/>
          </w:tcPr>
          <w:p w14:paraId="630567AC" w14:textId="02E1FB88" w:rsidR="006A7B6E" w:rsidRPr="008B4E6E" w:rsidRDefault="008B4E6E" w:rsidP="008B4E6E">
            <w:pPr>
              <w:rPr>
                <w:rFonts w:ascii="Arial" w:hAnsi="Arial" w:cs="Arial"/>
                <w:sz w:val="24"/>
                <w:szCs w:val="24"/>
              </w:rPr>
            </w:pPr>
            <w:r w:rsidRPr="008B4E6E">
              <w:rPr>
                <w:rFonts w:ascii="Arial" w:hAnsi="Arial" w:cs="Arial"/>
                <w:sz w:val="24"/>
                <w:szCs w:val="24"/>
              </w:rPr>
              <w:t xml:space="preserve">In perpetuity </w:t>
            </w:r>
          </w:p>
        </w:tc>
      </w:tr>
      <w:tr w:rsidR="008B4E6E" w14:paraId="47E0D100" w14:textId="77777777" w:rsidTr="008B4E6E">
        <w:tc>
          <w:tcPr>
            <w:tcW w:w="1370" w:type="dxa"/>
          </w:tcPr>
          <w:p w14:paraId="475349D7" w14:textId="5D9DBF1B" w:rsidR="008B4E6E" w:rsidRPr="008B4E6E" w:rsidRDefault="008B4E6E" w:rsidP="008B4E6E">
            <w:pPr>
              <w:rPr>
                <w:rFonts w:ascii="Arial" w:hAnsi="Arial" w:cs="Arial"/>
                <w:sz w:val="24"/>
                <w:szCs w:val="24"/>
              </w:rPr>
            </w:pPr>
            <w:r w:rsidRPr="008B4E6E">
              <w:rPr>
                <w:rFonts w:ascii="Arial" w:hAnsi="Arial" w:cs="Arial"/>
                <w:sz w:val="24"/>
                <w:szCs w:val="24"/>
              </w:rPr>
              <w:t>2.</w:t>
            </w:r>
          </w:p>
        </w:tc>
        <w:tc>
          <w:tcPr>
            <w:tcW w:w="2410" w:type="dxa"/>
          </w:tcPr>
          <w:p w14:paraId="6144A3C1" w14:textId="136033CB" w:rsidR="008B4E6E" w:rsidRPr="008B4E6E" w:rsidRDefault="008B4E6E" w:rsidP="008B4E6E">
            <w:pPr>
              <w:rPr>
                <w:rFonts w:ascii="Arial" w:hAnsi="Arial" w:cs="Arial"/>
                <w:sz w:val="24"/>
                <w:szCs w:val="24"/>
              </w:rPr>
            </w:pPr>
            <w:r w:rsidRPr="008B4E6E">
              <w:rPr>
                <w:rFonts w:ascii="Arial" w:hAnsi="Arial" w:cs="Arial"/>
                <w:sz w:val="24"/>
                <w:szCs w:val="24"/>
              </w:rPr>
              <w:t>From the commencement of the contract</w:t>
            </w:r>
          </w:p>
        </w:tc>
        <w:tc>
          <w:tcPr>
            <w:tcW w:w="1931" w:type="dxa"/>
          </w:tcPr>
          <w:p w14:paraId="214B1D79" w14:textId="1D6A7F33" w:rsidR="008B4E6E" w:rsidRPr="008B4E6E" w:rsidRDefault="008B4E6E" w:rsidP="008B4E6E">
            <w:pPr>
              <w:rPr>
                <w:rFonts w:ascii="Arial" w:hAnsi="Arial" w:cs="Arial"/>
                <w:sz w:val="24"/>
                <w:szCs w:val="24"/>
              </w:rPr>
            </w:pPr>
            <w:r w:rsidRPr="008B4E6E">
              <w:rPr>
                <w:rFonts w:ascii="Arial" w:hAnsi="Arial" w:cs="Arial"/>
                <w:sz w:val="24"/>
                <w:szCs w:val="24"/>
              </w:rPr>
              <w:t>The supplier</w:t>
            </w:r>
            <w:r>
              <w:rPr>
                <w:rFonts w:ascii="Arial" w:hAnsi="Arial" w:cs="Arial"/>
                <w:sz w:val="24"/>
                <w:szCs w:val="24"/>
              </w:rPr>
              <w:t xml:space="preserve">’s </w:t>
            </w:r>
            <w:r w:rsidRPr="008B4E6E">
              <w:rPr>
                <w:rFonts w:ascii="Arial" w:hAnsi="Arial" w:cs="Arial"/>
                <w:sz w:val="24"/>
                <w:szCs w:val="24"/>
              </w:rPr>
              <w:t>technical bid</w:t>
            </w:r>
          </w:p>
        </w:tc>
        <w:tc>
          <w:tcPr>
            <w:tcW w:w="2238" w:type="dxa"/>
          </w:tcPr>
          <w:p w14:paraId="59B6762F" w14:textId="74649C23" w:rsidR="008B4E6E" w:rsidRPr="008B4E6E" w:rsidRDefault="008B4E6E" w:rsidP="008B4E6E">
            <w:pPr>
              <w:rPr>
                <w:rFonts w:ascii="Arial" w:hAnsi="Arial" w:cs="Arial"/>
                <w:sz w:val="24"/>
                <w:szCs w:val="24"/>
              </w:rPr>
            </w:pPr>
            <w:r w:rsidRPr="008B4E6E">
              <w:rPr>
                <w:rFonts w:ascii="Arial" w:hAnsi="Arial" w:cs="Arial"/>
                <w:sz w:val="24"/>
                <w:szCs w:val="24"/>
              </w:rPr>
              <w:t>In perpetuity</w:t>
            </w:r>
          </w:p>
        </w:tc>
      </w:tr>
    </w:tbl>
    <w:p w14:paraId="630567AE" w14:textId="77777777" w:rsidR="006A7B6E" w:rsidRDefault="006A7B6E"/>
    <w:p w14:paraId="630567AF" w14:textId="77777777" w:rsidR="006A7B6E" w:rsidRDefault="006A7B6E">
      <w:bookmarkStart w:id="2" w:name="_heading=h.gjdgxs" w:colFirst="0" w:colLast="0"/>
      <w:bookmarkEnd w:id="2"/>
    </w:p>
    <w:sectPr w:rsidR="006A7B6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8863B" w14:textId="77777777" w:rsidR="003C6C35" w:rsidRDefault="003C6C35">
      <w:pPr>
        <w:spacing w:after="0" w:line="240" w:lineRule="auto"/>
      </w:pPr>
      <w:r>
        <w:separator/>
      </w:r>
    </w:p>
  </w:endnote>
  <w:endnote w:type="continuationSeparator" w:id="0">
    <w:p w14:paraId="179C7C2D" w14:textId="77777777" w:rsidR="003C6C35" w:rsidRDefault="003C6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67B4" w14:textId="77777777" w:rsidR="006A7B6E" w:rsidRDefault="006A7B6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67B5" w14:textId="77777777" w:rsidR="006A7B6E" w:rsidRPr="00E235B6" w:rsidRDefault="00E235B6">
    <w:pPr>
      <w:tabs>
        <w:tab w:val="center" w:pos="4513"/>
        <w:tab w:val="right" w:pos="9026"/>
      </w:tabs>
      <w:spacing w:after="0"/>
      <w:rPr>
        <w:rFonts w:ascii="Arial" w:eastAsia="Arial" w:hAnsi="Arial" w:cs="Arial"/>
      </w:rPr>
    </w:pPr>
    <w:r>
      <w:rPr>
        <w:rFonts w:ascii="Arial" w:eastAsia="Arial" w:hAnsi="Arial" w:cs="Arial"/>
        <w:sz w:val="20"/>
        <w:szCs w:val="20"/>
      </w:rPr>
      <w:t>Framework Reference: RM6116</w:t>
    </w:r>
    <w:r>
      <w:rPr>
        <w:rFonts w:ascii="Arial" w:eastAsia="Arial" w:hAnsi="Arial" w:cs="Arial"/>
        <w:color w:val="FF0000"/>
        <w:sz w:val="20"/>
        <w:szCs w:val="20"/>
      </w:rPr>
      <w:t>-</w:t>
    </w:r>
    <w:r w:rsidRPr="00E235B6">
      <w:rPr>
        <w:rFonts w:ascii="Arial" w:eastAsia="Arial" w:hAnsi="Arial" w:cs="Arial"/>
      </w:rPr>
      <w:t>Lot 4b</w:t>
    </w:r>
    <w:r w:rsidRPr="00E235B6">
      <w:t xml:space="preserve"> </w:t>
    </w:r>
    <w:r w:rsidRPr="00E235B6">
      <w:rPr>
        <w:rFonts w:ascii="Arial" w:eastAsia="Arial" w:hAnsi="Arial" w:cs="Arial"/>
      </w:rPr>
      <w:t>Digital Communication Services (Unified Communications)</w:t>
    </w:r>
  </w:p>
  <w:p w14:paraId="630567B6" w14:textId="06573C5F" w:rsidR="006A7B6E" w:rsidRPr="00E235B6" w:rsidRDefault="00E235B6">
    <w:pPr>
      <w:tabs>
        <w:tab w:val="center" w:pos="4513"/>
        <w:tab w:val="right" w:pos="9026"/>
      </w:tabs>
      <w:spacing w:after="0"/>
      <w:rPr>
        <w:rFonts w:ascii="Arial" w:eastAsia="Arial" w:hAnsi="Arial" w:cs="Arial"/>
        <w:sz w:val="20"/>
        <w:szCs w:val="20"/>
      </w:rPr>
    </w:pPr>
    <w:r w:rsidRPr="00E235B6">
      <w:rPr>
        <w:rFonts w:ascii="Arial" w:eastAsia="Arial" w:hAnsi="Arial" w:cs="Arial"/>
        <w:sz w:val="20"/>
        <w:szCs w:val="20"/>
      </w:rPr>
      <w:t xml:space="preserve">Call-Off Contract Reference: CCTE24A10                                            </w:t>
    </w:r>
  </w:p>
  <w:p w14:paraId="630567B7" w14:textId="4ED43D98" w:rsidR="006A7B6E" w:rsidRDefault="00E235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13BD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30567B8" w14:textId="77777777" w:rsidR="006A7B6E" w:rsidRDefault="00E235B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67BA" w14:textId="77777777" w:rsidR="006A7B6E" w:rsidRDefault="006A7B6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F9E8F" w14:textId="77777777" w:rsidR="003C6C35" w:rsidRDefault="003C6C35">
      <w:pPr>
        <w:spacing w:after="0" w:line="240" w:lineRule="auto"/>
      </w:pPr>
      <w:r>
        <w:separator/>
      </w:r>
    </w:p>
  </w:footnote>
  <w:footnote w:type="continuationSeparator" w:id="0">
    <w:p w14:paraId="0B2ED433" w14:textId="77777777" w:rsidR="003C6C35" w:rsidRDefault="003C6C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67B0" w14:textId="77777777" w:rsidR="006A7B6E" w:rsidRDefault="006A7B6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67B1" w14:textId="77777777" w:rsidR="006A7B6E" w:rsidRDefault="00E235B6">
    <w:pPr>
      <w:keepNext/>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color w:val="000000"/>
        <w:sz w:val="20"/>
        <w:szCs w:val="20"/>
      </w:rPr>
      <w:t>Joint Schedule 4 (Commercially Sensitive Information)</w:t>
    </w:r>
  </w:p>
  <w:p w14:paraId="630567B2" w14:textId="77777777" w:rsidR="006A7B6E" w:rsidRPr="00813BDA" w:rsidRDefault="00E235B6">
    <w:pPr>
      <w:keepNext/>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sidRPr="00813BDA">
      <w:rPr>
        <w:rFonts w:ascii="Arial" w:eastAsia="Arial" w:hAnsi="Arial" w:cs="Arial"/>
        <w:b/>
        <w:sz w:val="20"/>
        <w:szCs w:val="20"/>
      </w:rPr>
      <w:t>Internet Protocol (IP)Telephony based services across the GPA estate</w:t>
    </w:r>
  </w:p>
  <w:p w14:paraId="630567B3" w14:textId="77777777" w:rsidR="006A7B6E" w:rsidRDefault="00E235B6">
    <w:pPr>
      <w:keepNext/>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67B9" w14:textId="77777777" w:rsidR="006A7B6E" w:rsidRDefault="006A7B6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6474A7"/>
    <w:multiLevelType w:val="multilevel"/>
    <w:tmpl w:val="15F003E8"/>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B6E"/>
    <w:rsid w:val="003C6C35"/>
    <w:rsid w:val="006A7B6E"/>
    <w:rsid w:val="0076696C"/>
    <w:rsid w:val="00813BDA"/>
    <w:rsid w:val="008B4E6E"/>
    <w:rsid w:val="00E235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5679D"/>
  <w15:docId w15:val="{63E32888-FB0E-4A91-BBCD-74EA4D180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N29ODJ2hzpPyOotiDu3Rnk/haA==">CgMxLjAyDmguOHp5Ym55a3BtaWEwMg5oLmV4enFqeGJoaTduMjIIaC5namRneHM4AHIhMXFGcWloUnJKSW1vSS1JanhJcUlDWDVDd0Rac0E5dUl2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171</Words>
  <Characters>977</Characters>
  <Application>Microsoft Office Word</Application>
  <DocSecurity>0</DocSecurity>
  <Lines>8</Lines>
  <Paragraphs>2</Paragraphs>
  <ScaleCrop>false</ScaleCrop>
  <Company/>
  <LinksUpToDate>false</LinksUpToDate>
  <CharactersWithSpaces>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Ellis Young</cp:lastModifiedBy>
  <cp:revision>4</cp:revision>
  <dcterms:created xsi:type="dcterms:W3CDTF">2022-10-25T16:01:00Z</dcterms:created>
  <dcterms:modified xsi:type="dcterms:W3CDTF">2025-09-23T09:57:00Z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